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638" w:type="dxa"/>
        <w:tblInd w:w="93" w:type="dxa"/>
        <w:tblLook w:val="04A0" w:firstRow="1" w:lastRow="0" w:firstColumn="1" w:lastColumn="0" w:noHBand="0" w:noVBand="1"/>
      </w:tblPr>
      <w:tblGrid>
        <w:gridCol w:w="10221"/>
        <w:gridCol w:w="20417"/>
      </w:tblGrid>
      <w:tr w:rsidR="00E62A81" w:rsidRPr="00FD183E" w14:paraId="24A0F74E" w14:textId="77777777" w:rsidTr="00E62A81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14:paraId="064BE7B2" w14:textId="77777777" w:rsidR="00E62A81" w:rsidRPr="004026BD" w:rsidRDefault="00E62A81" w:rsidP="0039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PATVIRTINTA </w:t>
            </w:r>
          </w:p>
        </w:tc>
        <w:tc>
          <w:tcPr>
            <w:tcW w:w="20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4A3E" w14:textId="77777777" w:rsidR="00E62A81" w:rsidRPr="00FD183E" w:rsidRDefault="00E62A81" w:rsidP="006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A81" w:rsidRPr="00FD183E" w14:paraId="4A04C22C" w14:textId="77777777" w:rsidTr="00E62A81">
        <w:trPr>
          <w:trHeight w:val="96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14:paraId="4E3C2973" w14:textId="77777777" w:rsidR="00E62A81" w:rsidRPr="004026BD" w:rsidRDefault="00E62A81" w:rsidP="00FD5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Plungės rajono savivaldybės </w:t>
            </w:r>
          </w:p>
          <w:p w14:paraId="750F10DE" w14:textId="77777777" w:rsidR="00E62A81" w:rsidRPr="004026BD" w:rsidRDefault="00E62A81" w:rsidP="00FD5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administracijos direktoriaus </w:t>
            </w:r>
          </w:p>
          <w:p w14:paraId="5E070AA9" w14:textId="77777777" w:rsidR="00E62A81" w:rsidRPr="004026BD" w:rsidRDefault="00E62A81" w:rsidP="00FD5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2020 m. vasario </w:t>
            </w:r>
            <w:r w:rsidR="003A1A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0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d.  </w:t>
            </w:r>
          </w:p>
          <w:p w14:paraId="4F30D288" w14:textId="77777777" w:rsidR="00E62A81" w:rsidRPr="004026BD" w:rsidRDefault="00E62A81" w:rsidP="00FD5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įsakymu Nr. D - </w:t>
            </w:r>
            <w:r w:rsidR="003A1A4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7CC8" w14:textId="77777777" w:rsidR="00E62A81" w:rsidRPr="00FD183E" w:rsidRDefault="00E62A81" w:rsidP="006C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99F0B2" w14:textId="77777777" w:rsidR="00681A4D" w:rsidRPr="00FD183E" w:rsidRDefault="00681A4D" w:rsidP="006C2C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3A6EB" w14:textId="77777777" w:rsidR="00681A4D" w:rsidRPr="00FD183E" w:rsidRDefault="004026BD" w:rsidP="00FD5D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337E">
        <w:rPr>
          <w:rFonts w:ascii="Times New Roman" w:eastAsia="Times New Roman" w:hAnsi="Times New Roman" w:cs="Times New Roman"/>
          <w:sz w:val="24"/>
          <w:szCs w:val="24"/>
        </w:rPr>
        <w:tab/>
      </w:r>
      <w:r w:rsidR="00EC0A1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0E175F70" w14:textId="77777777" w:rsidR="00681A4D" w:rsidRPr="00FD183E" w:rsidRDefault="004026BD" w:rsidP="00FD5D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1A4D" w:rsidRPr="00FD183E">
        <w:rPr>
          <w:rFonts w:ascii="Times New Roman" w:eastAsia="Times New Roman" w:hAnsi="Times New Roman" w:cs="Times New Roman"/>
          <w:sz w:val="24"/>
          <w:szCs w:val="24"/>
        </w:rPr>
        <w:t xml:space="preserve">Plungės </w:t>
      </w:r>
      <w:r w:rsidR="00681A4D" w:rsidRPr="00FD183E">
        <w:rPr>
          <w:rFonts w:ascii="Times New Roman" w:hAnsi="Times New Roman" w:cs="Times New Roman"/>
          <w:sz w:val="24"/>
          <w:szCs w:val="24"/>
        </w:rPr>
        <w:t xml:space="preserve"> lopšelio</w:t>
      </w:r>
      <w:r w:rsidR="00265EFF">
        <w:rPr>
          <w:rFonts w:ascii="Times New Roman" w:hAnsi="Times New Roman" w:cs="Times New Roman"/>
          <w:sz w:val="24"/>
          <w:szCs w:val="24"/>
        </w:rPr>
        <w:t>-</w:t>
      </w:r>
      <w:r w:rsidR="00681A4D" w:rsidRPr="00FD183E">
        <w:rPr>
          <w:rFonts w:ascii="Times New Roman" w:hAnsi="Times New Roman" w:cs="Times New Roman"/>
          <w:sz w:val="24"/>
          <w:szCs w:val="24"/>
        </w:rPr>
        <w:t>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4D" w:rsidRPr="00FD183E">
        <w:rPr>
          <w:rFonts w:ascii="Times New Roman" w:hAnsi="Times New Roman" w:cs="Times New Roman"/>
          <w:sz w:val="24"/>
          <w:szCs w:val="24"/>
        </w:rPr>
        <w:t>„Nykštukas“</w:t>
      </w:r>
    </w:p>
    <w:p w14:paraId="31B50BE7" w14:textId="77777777" w:rsidR="00EC0A1E" w:rsidRDefault="00681A4D" w:rsidP="00FD5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83E">
        <w:rPr>
          <w:rFonts w:ascii="Times New Roman" w:hAnsi="Times New Roman" w:cs="Times New Roman"/>
          <w:sz w:val="24"/>
          <w:szCs w:val="24"/>
        </w:rPr>
        <w:t xml:space="preserve">  </w:t>
      </w:r>
      <w:r w:rsidR="004026BD">
        <w:rPr>
          <w:rFonts w:ascii="Times New Roman" w:hAnsi="Times New Roman" w:cs="Times New Roman"/>
          <w:sz w:val="24"/>
          <w:szCs w:val="24"/>
        </w:rPr>
        <w:tab/>
      </w:r>
      <w:r w:rsidR="004026BD">
        <w:rPr>
          <w:rFonts w:ascii="Times New Roman" w:hAnsi="Times New Roman" w:cs="Times New Roman"/>
          <w:sz w:val="24"/>
          <w:szCs w:val="24"/>
        </w:rPr>
        <w:tab/>
      </w:r>
      <w:r w:rsidRPr="00FD183E">
        <w:rPr>
          <w:rFonts w:ascii="Times New Roman" w:hAnsi="Times New Roman" w:cs="Times New Roman"/>
          <w:sz w:val="24"/>
          <w:szCs w:val="24"/>
        </w:rPr>
        <w:t xml:space="preserve"> </w:t>
      </w:r>
      <w:r w:rsidR="004026BD">
        <w:rPr>
          <w:rFonts w:ascii="Times New Roman" w:hAnsi="Times New Roman" w:cs="Times New Roman"/>
          <w:sz w:val="24"/>
          <w:szCs w:val="24"/>
        </w:rPr>
        <w:tab/>
      </w:r>
      <w:r w:rsidR="0017337E">
        <w:rPr>
          <w:rFonts w:ascii="Times New Roman" w:hAnsi="Times New Roman" w:cs="Times New Roman"/>
          <w:sz w:val="24"/>
          <w:szCs w:val="24"/>
        </w:rPr>
        <w:tab/>
      </w:r>
      <w:r w:rsidR="00EC0A1E">
        <w:rPr>
          <w:rFonts w:ascii="Times New Roman" w:hAnsi="Times New Roman" w:cs="Times New Roman"/>
          <w:sz w:val="24"/>
          <w:szCs w:val="24"/>
        </w:rPr>
        <w:t>Direktoriaus 2020 m. vasario 21 d.</w:t>
      </w:r>
    </w:p>
    <w:p w14:paraId="099669F3" w14:textId="77777777" w:rsidR="00681A4D" w:rsidRDefault="00EC0A1E" w:rsidP="00FD5D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įsakymu Nr. V1-10</w:t>
      </w:r>
    </w:p>
    <w:p w14:paraId="6A6B3843" w14:textId="77777777" w:rsidR="00681A4D" w:rsidRPr="00FD183E" w:rsidRDefault="00681A4D" w:rsidP="00FD5D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26BD">
        <w:rPr>
          <w:rFonts w:ascii="Times New Roman" w:eastAsia="Times New Roman" w:hAnsi="Times New Roman" w:cs="Times New Roman"/>
          <w:sz w:val="24"/>
          <w:szCs w:val="24"/>
        </w:rPr>
        <w:tab/>
      </w:r>
      <w:r w:rsidR="009E5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5A49E4" w14:textId="77777777" w:rsidR="00681A4D" w:rsidRPr="00FD183E" w:rsidRDefault="00681A4D" w:rsidP="006C2C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18AB7" w14:textId="77777777" w:rsidR="00681A4D" w:rsidRPr="00FD183E" w:rsidRDefault="00681A4D" w:rsidP="006C2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3E">
        <w:rPr>
          <w:rFonts w:ascii="Times New Roman" w:hAnsi="Times New Roman" w:cs="Times New Roman"/>
          <w:b/>
          <w:sz w:val="24"/>
          <w:szCs w:val="24"/>
        </w:rPr>
        <w:t xml:space="preserve"> PLUNGĖS LOPŠELIS-DARŽELIS  „NYKŠTUKAS“  191128231</w:t>
      </w:r>
    </w:p>
    <w:p w14:paraId="79C374FB" w14:textId="77777777" w:rsidR="00681A4D" w:rsidRPr="00FD183E" w:rsidRDefault="00681A4D" w:rsidP="006C2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3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A6BAD9B" w14:textId="77777777" w:rsidR="00681A4D" w:rsidRPr="00FD183E" w:rsidRDefault="00681A4D" w:rsidP="006C2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3E">
        <w:rPr>
          <w:rFonts w:ascii="Times New Roman" w:eastAsia="Times New Roman" w:hAnsi="Times New Roman" w:cs="Times New Roman"/>
          <w:b/>
          <w:sz w:val="24"/>
          <w:szCs w:val="24"/>
        </w:rPr>
        <w:t>(įstaigos pavadinimas, kodas)</w:t>
      </w:r>
    </w:p>
    <w:p w14:paraId="6FEFE6DA" w14:textId="77777777" w:rsidR="00681A4D" w:rsidRPr="00255DC5" w:rsidRDefault="00681A4D" w:rsidP="006C2C85">
      <w:pPr>
        <w:rPr>
          <w:rFonts w:ascii="Calibri" w:eastAsia="Times New Roman" w:hAnsi="Calibri" w:cs="Times New Roman"/>
          <w:b/>
          <w:szCs w:val="24"/>
        </w:rPr>
      </w:pPr>
    </w:p>
    <w:p w14:paraId="61782757" w14:textId="0F7A61FA" w:rsidR="00681A4D" w:rsidRPr="00BC5D48" w:rsidRDefault="00987D1E" w:rsidP="006C2C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2020</w:t>
      </w:r>
      <w:r w:rsidR="00122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681A4D" w:rsidRPr="00BC5D48">
        <w:rPr>
          <w:rFonts w:ascii="Times New Roman" w:eastAsia="Times New Roman" w:hAnsi="Times New Roman" w:cs="Times New Roman"/>
          <w:b/>
          <w:bCs/>
          <w:sz w:val="24"/>
          <w:szCs w:val="24"/>
        </w:rPr>
        <w:t>METŲ VEIKLOS PLANO APRAŠYMAS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81A4D" w:rsidRPr="00255DC5" w14:paraId="206FFC0E" w14:textId="77777777" w:rsidTr="003906BD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F0B" w14:textId="77777777" w:rsidR="00681A4D" w:rsidRPr="00255DC5" w:rsidRDefault="00681A4D" w:rsidP="006C2C85">
            <w:pPr>
              <w:rPr>
                <w:rFonts w:ascii="Calibri" w:eastAsia="Times New Roman" w:hAnsi="Calibri" w:cs="Times New Roman"/>
                <w:bCs/>
                <w:szCs w:val="24"/>
              </w:rPr>
            </w:pPr>
            <w:r w:rsidRPr="002C7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Metinio veiklos plano parengimo argumentai</w:t>
            </w:r>
            <w:r w:rsidRPr="002C741E">
              <w:rPr>
                <w:rFonts w:ascii="Calibri" w:eastAsia="Times New Roman" w:hAnsi="Calibri" w:cs="Times New Roman"/>
                <w:bCs/>
                <w:szCs w:val="24"/>
              </w:rPr>
              <w:t>.</w:t>
            </w:r>
            <w:r w:rsidR="004026BD">
              <w:rPr>
                <w:rFonts w:ascii="Calibri" w:eastAsia="Times New Roman" w:hAnsi="Calibri" w:cs="Times New Roman"/>
                <w:bCs/>
                <w:szCs w:val="24"/>
              </w:rPr>
              <w:t xml:space="preserve"> </w:t>
            </w:r>
            <w:r w:rsidRPr="00853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Planas parengtas vadovaujantis Lietuvos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Respublikos savivaldos įstatymo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straipsnio 4 punktu, Strateginio planavimo savivaldybėse rekomendacijomis, patvirtintomis Lietuvos Respublikos Vyriausybės 2014 m. gruodžio 15 d. nutarimu Nr. 1435.</w:t>
            </w:r>
          </w:p>
        </w:tc>
      </w:tr>
    </w:tbl>
    <w:p w14:paraId="03255D83" w14:textId="77777777" w:rsidR="00681A4D" w:rsidRPr="00255DC5" w:rsidRDefault="00681A4D" w:rsidP="006C2C85">
      <w:pPr>
        <w:rPr>
          <w:rFonts w:ascii="Calibri" w:eastAsia="Times New Roman" w:hAnsi="Calibri" w:cs="Times New Roman"/>
          <w:b/>
          <w:bCs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A4D" w:rsidRPr="00255DC5" w14:paraId="1C595F24" w14:textId="77777777" w:rsidTr="003906BD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1573" w14:textId="77777777" w:rsidR="00681A4D" w:rsidRDefault="00681A4D" w:rsidP="00FD5D86">
            <w:pPr>
              <w:jc w:val="both"/>
              <w:rPr>
                <w:rStyle w:val="HTMLcitat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741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Trumpa situacijos analizė  </w:t>
            </w:r>
            <w:r>
              <w:rPr>
                <w:rStyle w:val="HTMLcitata"/>
                <w:rFonts w:ascii="Times New Roman" w:hAnsi="Times New Roman" w:cs="Times New Roman"/>
                <w:sz w:val="24"/>
                <w:szCs w:val="24"/>
              </w:rPr>
              <w:tab/>
            </w:r>
            <w:r w:rsidRPr="004026BD">
              <w:rPr>
                <w:rStyle w:val="HTMLcitata"/>
                <w:rFonts w:ascii="Times New Roman" w:hAnsi="Times New Roman" w:cs="Times New Roman"/>
                <w:i w:val="0"/>
                <w:sz w:val="24"/>
                <w:szCs w:val="24"/>
              </w:rPr>
              <w:t>1. Darbuotojai.</w:t>
            </w:r>
            <w:r>
              <w:rPr>
                <w:rStyle w:val="HTMLcitata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210"/>
              <w:gridCol w:w="1155"/>
              <w:gridCol w:w="1116"/>
              <w:gridCol w:w="1119"/>
              <w:gridCol w:w="1112"/>
              <w:gridCol w:w="1205"/>
              <w:gridCol w:w="1199"/>
            </w:tblGrid>
            <w:tr w:rsidR="00681A4D" w14:paraId="4B5D8AE9" w14:textId="77777777" w:rsidTr="003906BD">
              <w:tc>
                <w:tcPr>
                  <w:tcW w:w="3785" w:type="dxa"/>
                  <w:gridSpan w:val="3"/>
                  <w:vAlign w:val="center"/>
                </w:tcPr>
                <w:p w14:paraId="3220B2B9" w14:textId="77777777" w:rsidR="00681A4D" w:rsidRPr="00695235" w:rsidRDefault="00681A4D" w:rsidP="00FD5D86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Darbuotojai</w:t>
                  </w:r>
                </w:p>
              </w:tc>
              <w:tc>
                <w:tcPr>
                  <w:tcW w:w="6071" w:type="dxa"/>
                  <w:gridSpan w:val="5"/>
                </w:tcPr>
                <w:p w14:paraId="2B753ACD" w14:textId="77777777" w:rsidR="00681A4D" w:rsidRPr="00695235" w:rsidRDefault="00681A4D" w:rsidP="00FD5D86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Pedagogų</w:t>
                  </w:r>
                  <w:r w:rsidRPr="007F258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skaičius</w:t>
                  </w:r>
                </w:p>
              </w:tc>
            </w:tr>
            <w:tr w:rsidR="00681A4D" w14:paraId="62142EF5" w14:textId="77777777" w:rsidTr="003906BD">
              <w:tc>
                <w:tcPr>
                  <w:tcW w:w="1378" w:type="dxa"/>
                  <w:vAlign w:val="center"/>
                </w:tcPr>
                <w:p w14:paraId="5EA6EE93" w14:textId="77777777" w:rsidR="00681A4D" w:rsidRPr="00695235" w:rsidRDefault="00681A4D" w:rsidP="00FD5D86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</w:t>
                  </w:r>
                  <w:r w:rsidRPr="006952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dministracija (direktorius ir pavaduotojai)</w:t>
                  </w:r>
                </w:p>
              </w:tc>
              <w:tc>
                <w:tcPr>
                  <w:tcW w:w="1211" w:type="dxa"/>
                  <w:vAlign w:val="center"/>
                </w:tcPr>
                <w:p w14:paraId="451B66C0" w14:textId="77777777" w:rsidR="00681A4D" w:rsidRPr="00695235" w:rsidRDefault="00681A4D" w:rsidP="00FD5D86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Pedagoginiai darbuotojai</w:t>
                  </w:r>
                </w:p>
              </w:tc>
              <w:tc>
                <w:tcPr>
                  <w:tcW w:w="1196" w:type="dxa"/>
                </w:tcPr>
                <w:p w14:paraId="4741BC6D" w14:textId="77777777" w:rsidR="00681A4D" w:rsidRPr="00695235" w:rsidRDefault="00681A4D" w:rsidP="00FD5D86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2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Pagalbinis/</w:t>
                  </w:r>
                </w:p>
                <w:p w14:paraId="3FE671EC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952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techninis  personalas</w:t>
                  </w:r>
                </w:p>
              </w:tc>
              <w:tc>
                <w:tcPr>
                  <w:tcW w:w="1184" w:type="dxa"/>
                </w:tcPr>
                <w:p w14:paraId="06AD39CA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2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Atestuotų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mokytojų</w:t>
                  </w:r>
                </w:p>
                <w:p w14:paraId="3E8E9FB3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sk.</w:t>
                  </w:r>
                </w:p>
              </w:tc>
              <w:tc>
                <w:tcPr>
                  <w:tcW w:w="1185" w:type="dxa"/>
                </w:tcPr>
                <w:p w14:paraId="00915B0A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Mokytojų</w:t>
                  </w:r>
                </w:p>
              </w:tc>
              <w:tc>
                <w:tcPr>
                  <w:tcW w:w="1183" w:type="dxa"/>
                </w:tcPr>
                <w:p w14:paraId="635E4D45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952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Vyr. mokytojų</w:t>
                  </w:r>
                </w:p>
              </w:tc>
              <w:tc>
                <w:tcPr>
                  <w:tcW w:w="1209" w:type="dxa"/>
                </w:tcPr>
                <w:p w14:paraId="33C74A94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952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Mokytojų metodininkų</w:t>
                  </w:r>
                </w:p>
              </w:tc>
              <w:tc>
                <w:tcPr>
                  <w:tcW w:w="1310" w:type="dxa"/>
                </w:tcPr>
                <w:p w14:paraId="7F84CE07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2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Iš viso mokytojų</w:t>
                  </w:r>
                </w:p>
                <w:p w14:paraId="24E0E093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681A4D" w14:paraId="756A1BF2" w14:textId="77777777" w:rsidTr="003906BD">
              <w:tc>
                <w:tcPr>
                  <w:tcW w:w="1378" w:type="dxa"/>
                </w:tcPr>
                <w:p w14:paraId="3B5A58C0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2,25</w:t>
                  </w:r>
                </w:p>
              </w:tc>
              <w:tc>
                <w:tcPr>
                  <w:tcW w:w="1211" w:type="dxa"/>
                </w:tcPr>
                <w:p w14:paraId="140B9F3C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 xml:space="preserve"> 13,</w:t>
                  </w:r>
                  <w:r w:rsidR="009A10AC"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96" w:type="dxa"/>
                </w:tcPr>
                <w:p w14:paraId="1CE88057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19,</w:t>
                  </w:r>
                  <w:r w:rsidR="009A10AC"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4" w:type="dxa"/>
                </w:tcPr>
                <w:p w14:paraId="1E903E48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5" w:type="dxa"/>
                </w:tcPr>
                <w:p w14:paraId="1EB21E3C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3" w:type="dxa"/>
                </w:tcPr>
                <w:p w14:paraId="323EA19D" w14:textId="77777777" w:rsidR="00681A4D" w:rsidRDefault="009A10AC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9" w:type="dxa"/>
                </w:tcPr>
                <w:p w14:paraId="27CAD842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0" w:type="dxa"/>
                </w:tcPr>
                <w:p w14:paraId="2BD715BF" w14:textId="77777777" w:rsidR="00681A4D" w:rsidRDefault="00681A4D" w:rsidP="00FD5D86">
                  <w:pPr>
                    <w:spacing w:after="200" w:line="276" w:lineRule="auto"/>
                    <w:jc w:val="both"/>
                    <w:rPr>
                      <w:rStyle w:val="HTMLcitata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HTMLcitata"/>
                      <w:rFonts w:ascii="Times New Roman" w:hAnsi="Times New Roman" w:cs="Times New Roman"/>
                      <w:sz w:val="24"/>
                      <w:szCs w:val="24"/>
                    </w:rPr>
                    <w:t xml:space="preserve"> 13</w:t>
                  </w:r>
                </w:p>
              </w:tc>
            </w:tr>
          </w:tbl>
          <w:p w14:paraId="02BF11C6" w14:textId="77777777" w:rsidR="00681A4D" w:rsidRDefault="00681A4D" w:rsidP="00FD5D86">
            <w:pPr>
              <w:jc w:val="both"/>
              <w:rPr>
                <w:rStyle w:val="HTMLcitat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HTMLcitata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1979F8" w14:textId="77777777" w:rsidR="00681A4D" w:rsidRPr="00CB3F4E" w:rsidRDefault="00681A4D" w:rsidP="00FD5D86">
            <w:pPr>
              <w:jc w:val="both"/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TMLcitata"/>
                <w:rFonts w:ascii="Times New Roman" w:hAnsi="Times New Roman" w:cs="Times New Roman"/>
                <w:sz w:val="24"/>
                <w:szCs w:val="24"/>
              </w:rPr>
              <w:tab/>
            </w:r>
            <w:r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 pedag</w:t>
            </w:r>
            <w:r w:rsidR="006B27C7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ogų</w:t>
            </w:r>
            <w:r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yra įgij</w:t>
            </w:r>
            <w:r w:rsid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ę</w:t>
            </w:r>
            <w:r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priešmokyklinio ugdymo pedagogo sertifikatą. Pedagogin</w:t>
            </w:r>
            <w:r w:rsidR="009A10AC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ių darbuotojų amžiaus vidurkis 49</w:t>
            </w:r>
            <w:r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,2. Pensinio amži</w:t>
            </w:r>
            <w:r w:rsidR="009A10AC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aus pedagogų nėra. Vyriausiam </w:t>
            </w:r>
            <w:r w:rsidR="00265EFF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pedagogui </w:t>
            </w:r>
            <w:r w:rsidR="009A10AC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  <w:r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met</w:t>
            </w:r>
            <w:r w:rsidR="00265EFF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ų,</w:t>
            </w:r>
            <w:r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iki 50 metų – </w:t>
            </w:r>
            <w:r w:rsidR="009A10AC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  <w:r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pedagogai. Viso darbuotojų 36</w:t>
            </w:r>
            <w:r w:rsidR="00265EFF" w:rsidRPr="00CB3F4E">
              <w:rPr>
                <w:rStyle w:val="HTMLcitat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14:paraId="27692345" w14:textId="77777777" w:rsidR="003B7ACF" w:rsidRDefault="00681A4D" w:rsidP="00FD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7AE882" w14:textId="77777777" w:rsidR="00681A4D" w:rsidRPr="00EB5E0D" w:rsidRDefault="00681A4D" w:rsidP="00FD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UGDYMAS</w:t>
            </w:r>
            <w:r w:rsidR="006B2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 ORGANIZAVIMAS</w:t>
            </w:r>
          </w:p>
          <w:p w14:paraId="11367FEC" w14:textId="77777777" w:rsidR="00681A4D" w:rsidRDefault="00681A4D" w:rsidP="00FD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3C94">
              <w:rPr>
                <w:rFonts w:ascii="Times New Roman" w:hAnsi="Times New Roman" w:cs="Times New Roman"/>
                <w:sz w:val="24"/>
                <w:szCs w:val="24"/>
              </w:rPr>
              <w:t>Plungės lopšelis-darželis</w:t>
            </w:r>
            <w:r w:rsidR="004026B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Nykštukas“ yra bendros paskirties ikimokyklinio ugdymo </w:t>
            </w:r>
            <w:r w:rsidR="004026BD"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savo ugdymo ir bendrąją priešmokyklinio ugdymo programas integruojanti gamtosauginių mokyklų tinklo ir  Sveikatą stiprinančių mokyklų tinklo programas.  Dirba  septynios grupės: viena priešmokyklinio ugdymo;  viena jungtinė ikimokyklinio ugdymo,  viena ankstyvojo amžiaus ir keturios mišrios ikimokyklinio ugdymo grupės.  U</w:t>
            </w:r>
            <w:r w:rsidR="007A5861">
              <w:rPr>
                <w:rFonts w:ascii="Times New Roman" w:hAnsi="Times New Roman" w:cs="Times New Roman"/>
                <w:sz w:val="24"/>
                <w:szCs w:val="24"/>
              </w:rPr>
              <w:t>gdytinių skaičius –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Iš jų </w:t>
            </w:r>
            <w:r w:rsidR="007A5861">
              <w:rPr>
                <w:rFonts w:ascii="Times New Roman" w:hAnsi="Times New Roman" w:cs="Times New Roman"/>
                <w:sz w:val="24"/>
                <w:szCs w:val="24"/>
              </w:rPr>
              <w:t>priešmokyklinukų</w:t>
            </w:r>
            <w:r w:rsidR="00265E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58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65E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opšelyje</w:t>
            </w:r>
            <w:r w:rsidR="00265EFF">
              <w:rPr>
                <w:rFonts w:ascii="Times New Roman" w:hAnsi="Times New Roman" w:cs="Times New Roman"/>
                <w:sz w:val="24"/>
                <w:szCs w:val="24"/>
              </w:rPr>
              <w:t>-darželyje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vietų skai</w:t>
            </w:r>
            <w:r w:rsidR="007A5861">
              <w:rPr>
                <w:rFonts w:ascii="Times New Roman" w:hAnsi="Times New Roman" w:cs="Times New Roman"/>
                <w:sz w:val="24"/>
                <w:szCs w:val="24"/>
              </w:rPr>
              <w:t>čius – 135, 11 ugdytinių  su spec. poreikiais.</w:t>
            </w:r>
          </w:p>
          <w:p w14:paraId="72D63927" w14:textId="77777777" w:rsidR="00681A4D" w:rsidRDefault="00681A4D" w:rsidP="00FD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Ugdymo veiklai planuoti naudojami trumpalaik</w:t>
            </w:r>
            <w:r w:rsidR="006C2C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ir ilgalaikiai planai.  </w:t>
            </w:r>
          </w:p>
          <w:p w14:paraId="1F5B84C1" w14:textId="77777777" w:rsidR="00DE2B98" w:rsidRPr="009E5B50" w:rsidRDefault="004026BD" w:rsidP="00FD5D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81A4D">
              <w:rPr>
                <w:rFonts w:ascii="Times New Roman" w:hAnsi="Times New Roman" w:cs="Times New Roman"/>
                <w:sz w:val="24"/>
                <w:szCs w:val="24"/>
              </w:rPr>
              <w:t>Priešmokyklinis ugdymas organizuojamas vadovaujantis L</w:t>
            </w:r>
            <w:r w:rsidR="0068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ietuvos R</w:t>
            </w:r>
            <w:r w:rsidR="00681A4D" w:rsidRPr="00807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espublikos švietimo ir</w:t>
            </w:r>
            <w:r w:rsidR="0068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mokslo ministro </w:t>
            </w:r>
            <w:r w:rsidR="00681A4D" w:rsidRPr="00AA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m. vasario 5 d. 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patvirtintu įsakymu </w:t>
            </w:r>
            <w:r w:rsidR="00681A4D" w:rsidRPr="00AA5D8E">
              <w:rPr>
                <w:rFonts w:ascii="Times New Roman" w:eastAsia="Times New Roman" w:hAnsi="Times New Roman" w:cs="Times New Roman"/>
                <w:sz w:val="24"/>
                <w:szCs w:val="24"/>
              </w:rPr>
              <w:t>Nr. V</w:t>
            </w:r>
            <w:r w:rsidR="00681A4D" w:rsidRPr="009E5B50">
              <w:rPr>
                <w:rFonts w:ascii="Times New Roman" w:eastAsia="Times New Roman" w:hAnsi="Times New Roman" w:cs="Times New Roman"/>
                <w:sz w:val="24"/>
                <w:szCs w:val="24"/>
              </w:rPr>
              <w:t>-100 „</w:t>
            </w:r>
            <w:r w:rsidR="00681A4D" w:rsidRPr="009E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Dėl švietimo ir mokslo ministro 2013 m. lapkričio 21 d. įsakymo Nr. V-1106 „Dėl priešmokyklinio ugdymo tvarko</w:t>
            </w:r>
            <w:r w:rsidRPr="009E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aprašo patvirtinimo“ pakeitimo“</w:t>
            </w:r>
            <w:r w:rsidR="00681A4D" w:rsidRPr="009E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00B60F" w14:textId="77777777" w:rsidR="00681A4D" w:rsidRPr="00DE2B98" w:rsidRDefault="004026BD" w:rsidP="00FD5D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681A4D" w:rsidRP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Vaikų priėmimą į  ikimokyklines priešmokyklines grupes reglamentuoja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A4D" w:rsidRP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Plungės </w:t>
            </w:r>
            <w:r w:rsidR="005C1F6D" w:rsidRP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rajono savivaldybės tarybos 2019</w:t>
            </w:r>
            <w:r w:rsidR="00681A4D" w:rsidRP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m. </w:t>
            </w:r>
            <w:r w:rsidR="005C1F6D" w:rsidRP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lapkričio 28</w:t>
            </w:r>
            <w:r w:rsidR="00681A4D" w:rsidRP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</w:t>
            </w:r>
            <w:r w:rsidR="00071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A4D" w:rsidRPr="00DE2B98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>sprendimas</w:t>
            </w:r>
            <w:r w:rsidR="005C1F6D" w:rsidRPr="00DE2B98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 xml:space="preserve"> Nr.T1-283</w:t>
            </w:r>
            <w:r w:rsidR="00681A4D" w:rsidRPr="00DE2B98">
              <w:rPr>
                <w:rFonts w:ascii="Times New Roman" w:hAnsi="Times New Roman" w:cs="Times New Roman"/>
                <w:bCs/>
                <w:sz w:val="24"/>
                <w:szCs w:val="24"/>
              </w:rPr>
              <w:t>„Dėl centralizuoto vaikų priėmimo į Plungės rajono savivaldybės švietimo įstaigas, įgyvendinančias ikimokyklinio ir priešmokyklinio ugdymo programas, tvarkos aprašo</w:t>
            </w:r>
            <w:r w:rsidR="00681A4D" w:rsidRPr="00DE2B98">
              <w:rPr>
                <w:rFonts w:ascii="Times New Roman" w:hAnsi="Times New Roman" w:cs="Times New Roman"/>
                <w:sz w:val="24"/>
                <w:szCs w:val="24"/>
              </w:rPr>
              <w:t xml:space="preserve"> patvirtinimo“</w:t>
            </w:r>
            <w:r w:rsidR="00DE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51E09" w14:textId="77777777" w:rsidR="00681A4D" w:rsidRPr="00AA5D8E" w:rsidRDefault="004026BD" w:rsidP="00FD5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68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Ikimokyklini</w:t>
            </w:r>
            <w:r w:rsid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68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priešmokyklini</w:t>
            </w:r>
            <w:r w:rsid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68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vaikų ugdym</w:t>
            </w:r>
            <w:r w:rsid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as,</w:t>
            </w:r>
            <w:r w:rsidR="0068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 val. per savaitę</w:t>
            </w:r>
            <w:r w:rsidR="00DE2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finansuojamas Valstybės lėšomis </w:t>
            </w:r>
            <w:r w:rsidR="00681A4D" w:rsidRPr="00807E33">
              <w:rPr>
                <w:rFonts w:ascii="Times New Roman" w:hAnsi="Times New Roman" w:cs="Times New Roman"/>
                <w:sz w:val="24"/>
                <w:szCs w:val="24"/>
              </w:rPr>
              <w:t>pagal Mokymo lėšų apskaičiavimo, paskirstymo ir panaudojimo tvarkos aprašą,</w:t>
            </w:r>
            <w:r w:rsidR="00681A4D">
              <w:rPr>
                <w:rFonts w:ascii="Times New Roman" w:hAnsi="Times New Roman" w:cs="Times New Roman"/>
                <w:sz w:val="24"/>
                <w:szCs w:val="24"/>
              </w:rPr>
              <w:t xml:space="preserve"> likusios lėšos skiriamos iš savivaldybės biudžeto. Kitus mokesčius reglamentuoja Plungės rajono savivaldybės tarybos sprendimai.</w:t>
            </w:r>
          </w:p>
          <w:p w14:paraId="776E2F22" w14:textId="77777777" w:rsidR="001E20E9" w:rsidRDefault="004026BD" w:rsidP="00FD5D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81A4D" w:rsidRPr="001E20E9">
              <w:rPr>
                <w:rFonts w:ascii="Times New Roman" w:hAnsi="Times New Roman" w:cs="Times New Roman"/>
                <w:sz w:val="24"/>
                <w:szCs w:val="24"/>
              </w:rPr>
              <w:t>Aukščiausias įstaigos valdymo organas įstaigoje yra Mokyklos taryba. Savivaldoje aktyviai dalyvauja Pedagogų taryba, grupių tėvų aktyvai, direktoriaus paskirtos darbinės grupės pvz.:  Sveikatos stiprinimą Mokykloje organizuojanti darbo grupė, Smurto ir patyčių prevencijos ir intervencijos vykdymo grupė ir kt</w:t>
            </w:r>
            <w:r w:rsidR="00681A4D" w:rsidRPr="001E20E9">
              <w:rPr>
                <w:rFonts w:ascii="Times New Roman" w:hAnsi="Times New Roman" w:cs="Times New Roman"/>
              </w:rPr>
              <w:t>.</w:t>
            </w:r>
            <w:r w:rsidR="00DE2B98">
              <w:rPr>
                <w:rFonts w:ascii="Times New Roman" w:hAnsi="Times New Roman" w:cs="Times New Roman"/>
              </w:rPr>
              <w:t>.</w:t>
            </w:r>
          </w:p>
          <w:p w14:paraId="591332D2" w14:textId="77777777" w:rsidR="004676A7" w:rsidRDefault="004026BD" w:rsidP="00FD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Mokyklos</w:t>
            </w:r>
            <w:r w:rsidR="00681A4D" w:rsidRPr="001E20E9">
              <w:rPr>
                <w:rFonts w:ascii="Times New Roman" w:hAnsi="Times New Roman" w:cs="Times New Roman"/>
                <w:sz w:val="24"/>
                <w:szCs w:val="24"/>
              </w:rPr>
              <w:t xml:space="preserve"> administraciją sudaro: direktorius, direktoriaus pavaduotojas ugdymui, di</w:t>
            </w:r>
            <w:r w:rsidR="00153189">
              <w:rPr>
                <w:rFonts w:ascii="Times New Roman" w:hAnsi="Times New Roman" w:cs="Times New Roman"/>
                <w:sz w:val="24"/>
                <w:szCs w:val="24"/>
              </w:rPr>
              <w:t>rektoriaus pavaduotojas ūkiui  raštvedys</w:t>
            </w:r>
            <w:r w:rsidR="0007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189">
              <w:rPr>
                <w:rFonts w:ascii="Times New Roman" w:hAnsi="Times New Roman" w:cs="Times New Roman"/>
                <w:sz w:val="24"/>
                <w:szCs w:val="24"/>
              </w:rPr>
              <w:t>ir sekretorius.</w:t>
            </w:r>
            <w:r w:rsidR="00681A4D" w:rsidRPr="001E20E9">
              <w:rPr>
                <w:rFonts w:ascii="Times New Roman" w:hAnsi="Times New Roman" w:cs="Times New Roman"/>
                <w:sz w:val="24"/>
                <w:szCs w:val="24"/>
              </w:rPr>
              <w:t xml:space="preserve"> Pareigybių sąrašą tvirtina direktorius, vadovaudamasis Plungės rajono savivaldybės tarybos 2019 m. 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 xml:space="preserve"> lapkričio 28</w:t>
            </w:r>
            <w:r w:rsidR="00681A4D" w:rsidRPr="001E20E9">
              <w:rPr>
                <w:rFonts w:ascii="Times New Roman" w:hAnsi="Times New Roman" w:cs="Times New Roman"/>
                <w:sz w:val="24"/>
                <w:szCs w:val="24"/>
              </w:rPr>
              <w:t xml:space="preserve"> d. s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>prendimais Nr.T1-283 patvirtintu</w:t>
            </w:r>
            <w:r w:rsidR="0007106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76A7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>kimokyklinio ugdymo mokyklų, Prūsalių mokyklos-darželio, D</w:t>
            </w:r>
            <w:r w:rsidR="004676A7" w:rsidRPr="004F2D04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>idvyčių daugiafunkcio centro</w:t>
            </w:r>
            <w:r w:rsidR="009E5B50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A7" w:rsidRPr="004F2D04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4676A7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>P</w:t>
            </w:r>
            <w:r w:rsidR="004676A7" w:rsidRPr="004F2D04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 xml:space="preserve">latelių universalaus daugiafunkcio centro </w:t>
            </w:r>
            <w:r w:rsidR="004676A7" w:rsidRPr="004F2D04">
              <w:rPr>
                <w:rFonts w:ascii="Times New Roman" w:hAnsi="Times New Roman" w:cs="Times New Roman"/>
                <w:sz w:val="24"/>
                <w:szCs w:val="24"/>
              </w:rPr>
              <w:t>darbo užmokesčio fondo (savivaldybės savarankiškosioms funkcijoms vykdyti, be pedagoginių darbuotoj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 xml:space="preserve">ų) apskaičiavimo tvarkos aprašu </w:t>
            </w:r>
            <w:r w:rsidR="00681A4D" w:rsidRPr="001E20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 xml:space="preserve"> 2019 m. rugsėjo 26 d. </w:t>
            </w:r>
            <w:r w:rsidR="0046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Plungės  rajono savivaldybės tarybos </w:t>
            </w:r>
            <w:r w:rsidR="009E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Sprendimu Nr.T1- 283 „</w:t>
            </w:r>
            <w:r w:rsidR="004676A7" w:rsidRPr="001F23E7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>D</w:t>
            </w:r>
            <w:r w:rsidR="004676A7" w:rsidRPr="001F23E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>l P</w:t>
            </w:r>
            <w:r w:rsidR="004676A7" w:rsidRPr="001F23E7">
              <w:rPr>
                <w:rFonts w:ascii="Times New Roman" w:hAnsi="Times New Roman" w:cs="Times New Roman"/>
                <w:sz w:val="24"/>
                <w:szCs w:val="24"/>
              </w:rPr>
              <w:t xml:space="preserve">lungės rajono 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>savivaldybės švietimo įstaigų, P</w:t>
            </w:r>
            <w:r w:rsidR="004676A7" w:rsidRPr="001F23E7">
              <w:rPr>
                <w:rFonts w:ascii="Times New Roman" w:hAnsi="Times New Roman" w:cs="Times New Roman"/>
                <w:sz w:val="24"/>
                <w:szCs w:val="24"/>
              </w:rPr>
              <w:t>lungės paslaugų ir švietimo pagalbos centro pedagoginių pareigybių ir nepedagoginių pareigybių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>, finansuojamų iš mokymo lėšų, Plungės rajono savivaldybės Žlibinų kultūros centro</w:t>
            </w:r>
            <w:r w:rsidR="004676A7" w:rsidRPr="001F23E7">
              <w:rPr>
                <w:rFonts w:ascii="Times New Roman" w:hAnsi="Times New Roman" w:cs="Times New Roman"/>
                <w:sz w:val="24"/>
                <w:szCs w:val="24"/>
              </w:rPr>
              <w:t xml:space="preserve"> pedagoginių pareigybių 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>didžiausio leistino skaičiaus 2019-2020</w:t>
            </w:r>
            <w:r w:rsidR="004676A7" w:rsidRPr="001F23E7">
              <w:rPr>
                <w:rFonts w:ascii="Times New Roman" w:hAnsi="Times New Roman" w:cs="Times New Roman"/>
                <w:sz w:val="24"/>
                <w:szCs w:val="24"/>
              </w:rPr>
              <w:t xml:space="preserve"> mokslo metams patvirtinim</w:t>
            </w:r>
            <w:r w:rsidR="004676A7">
              <w:rPr>
                <w:rFonts w:ascii="Times New Roman" w:hAnsi="Times New Roman" w:cs="Times New Roman"/>
                <w:sz w:val="24"/>
                <w:szCs w:val="24"/>
              </w:rPr>
              <w:t>u“</w:t>
            </w:r>
            <w:r w:rsidR="00C7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18BB6" w14:textId="77777777" w:rsidR="00681A4D" w:rsidRPr="00366BB4" w:rsidRDefault="00681A4D" w:rsidP="00FD5D86">
            <w:pPr>
              <w:pStyle w:val="prastasiniatinklio"/>
              <w:spacing w:after="0" w:afterAutospacing="0"/>
              <w:jc w:val="both"/>
            </w:pPr>
            <w:r w:rsidRPr="00366BB4">
              <w:rPr>
                <w:b/>
              </w:rPr>
              <w:t xml:space="preserve">MISIJA. </w:t>
            </w:r>
            <w:r w:rsidRPr="00366BB4">
              <w:t>Vaikų  priežiūra, sveikata, gerovė, lavinimas.</w:t>
            </w:r>
          </w:p>
          <w:p w14:paraId="7AA9B4C2" w14:textId="77777777" w:rsidR="00681A4D" w:rsidRPr="00366BB4" w:rsidRDefault="00681A4D" w:rsidP="00FD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VIZIJA. </w:t>
            </w:r>
            <w:r w:rsidRPr="00366BB4">
              <w:rPr>
                <w:rFonts w:ascii="Times New Roman" w:hAnsi="Times New Roman" w:cs="Times New Roman"/>
                <w:sz w:val="24"/>
                <w:szCs w:val="24"/>
              </w:rPr>
              <w:t>Įstaiga, kurioje vaikai, tėvai ir darbuotojai gali jaustis orūs.</w:t>
            </w:r>
          </w:p>
          <w:p w14:paraId="5B88690A" w14:textId="77777777" w:rsidR="00681A4D" w:rsidRPr="00153189" w:rsidRDefault="00C711A3" w:rsidP="00FD5D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STRATEGINIS TIKSLAS 2020</w:t>
            </w:r>
            <w:r w:rsidR="00681A4D" w:rsidRPr="00366BB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1A4D" w:rsidRPr="0036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 </w:t>
            </w:r>
            <w:r w:rsidRPr="00E861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Ugdyti išsilavinusią ir kultūrą puos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elėjančią</w:t>
            </w:r>
            <w:r w:rsidR="00153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3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bendruomenę socialiai saugioje aplinkoje</w:t>
            </w:r>
            <w:r w:rsidR="00D713D2" w:rsidRPr="00153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B329A7F" w14:textId="77777777" w:rsidR="00D713D2" w:rsidRPr="00311E8C" w:rsidRDefault="00D713D2" w:rsidP="00FD5D86">
            <w:pPr>
              <w:jc w:val="both"/>
              <w:rPr>
                <w:lang w:eastAsia="ar-SA"/>
              </w:rPr>
            </w:pPr>
            <w:r w:rsidRPr="00D713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PRIORITETAI</w:t>
            </w:r>
            <w:r w:rsidR="001733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7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Bendruomenės bendravimas ir bendradarbiavimas </w:t>
            </w:r>
            <w:r w:rsidR="00311E8C" w:rsidRPr="0017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siekiant</w:t>
            </w:r>
            <w:r w:rsidRPr="0017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kokybiško </w:t>
            </w:r>
            <w:r w:rsidR="00311E8C" w:rsidRPr="0017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vaik</w:t>
            </w:r>
            <w:r w:rsidR="006B27C7" w:rsidRPr="0017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ų</w:t>
            </w:r>
            <w:r w:rsidR="00153189" w:rsidRPr="0017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ugdymo</w:t>
            </w:r>
            <w:r w:rsidRPr="00311E8C">
              <w:rPr>
                <w:lang w:eastAsia="ar-SA"/>
              </w:rPr>
              <w:t>.</w:t>
            </w:r>
          </w:p>
          <w:p w14:paraId="7F5DC942" w14:textId="4B389FA8" w:rsidR="00681A4D" w:rsidRPr="00366BB4" w:rsidRDefault="00681A4D" w:rsidP="00FD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B4">
              <w:rPr>
                <w:rFonts w:ascii="Times New Roman" w:hAnsi="Times New Roman" w:cs="Times New Roman"/>
                <w:b/>
                <w:sz w:val="24"/>
                <w:szCs w:val="24"/>
              </w:rPr>
              <w:t>METINĖS PROGRAMOS TIKSLAS 20</w:t>
            </w:r>
            <w:r w:rsidR="000439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6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r w:rsidRPr="00366BB4">
              <w:rPr>
                <w:rFonts w:ascii="Times New Roman" w:hAnsi="Times New Roman" w:cs="Times New Roman"/>
                <w:sz w:val="24"/>
                <w:szCs w:val="24"/>
              </w:rPr>
              <w:t>Rūpintis bendruoju vaikų</w:t>
            </w:r>
            <w:r w:rsidR="0015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BB4">
              <w:rPr>
                <w:rFonts w:ascii="Times New Roman" w:hAnsi="Times New Roman" w:cs="Times New Roman"/>
                <w:sz w:val="24"/>
                <w:szCs w:val="24"/>
              </w:rPr>
              <w:t>gebėjimų ir vertybinių nuostatų ugdymu, didinant  ankstyvojo amžiaus prieinamumą.</w:t>
            </w:r>
          </w:p>
          <w:p w14:paraId="4BFEE1FC" w14:textId="77777777" w:rsidR="00681A4D" w:rsidRPr="00366BB4" w:rsidRDefault="00681A4D" w:rsidP="00FD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METINĖS VEIKLOS TIKSLAI: </w:t>
            </w:r>
          </w:p>
          <w:p w14:paraId="0C3067E0" w14:textId="77777777" w:rsidR="00681A4D" w:rsidRPr="00311E8C" w:rsidRDefault="0017337E" w:rsidP="00FD5D86">
            <w:pPr>
              <w:pStyle w:val="Sraopastraipa"/>
              <w:jc w:val="both"/>
            </w:pPr>
            <w:r>
              <w:t>1.</w:t>
            </w:r>
            <w:r w:rsidR="00C711A3" w:rsidRPr="00311E8C">
              <w:t>Tapti aktyvia mokykla</w:t>
            </w:r>
            <w:r w:rsidR="000E7E67" w:rsidRPr="00311E8C">
              <w:t>.</w:t>
            </w:r>
            <w:r w:rsidR="00681A4D" w:rsidRPr="00311E8C">
              <w:t xml:space="preserve">  </w:t>
            </w:r>
          </w:p>
          <w:p w14:paraId="380DC25C" w14:textId="77777777" w:rsidR="00681A4D" w:rsidRPr="00311E8C" w:rsidRDefault="0017337E" w:rsidP="00FD5D86">
            <w:pPr>
              <w:pStyle w:val="Sraopastraipa"/>
              <w:jc w:val="both"/>
            </w:pPr>
            <w:r>
              <w:t xml:space="preserve">2. </w:t>
            </w:r>
            <w:r w:rsidR="00681A4D" w:rsidRPr="00311E8C">
              <w:t>Įtraukios</w:t>
            </w:r>
            <w:r w:rsidR="00311E8C">
              <w:t>,</w:t>
            </w:r>
            <w:r w:rsidR="00681A4D" w:rsidRPr="00311E8C">
              <w:t xml:space="preserve"> emociškai saugios ugdymosi aplinkos bendruomenei kūrimas.</w:t>
            </w:r>
          </w:p>
          <w:p w14:paraId="02E60FED" w14:textId="77777777" w:rsidR="00681A4D" w:rsidRPr="00311E8C" w:rsidRDefault="0017337E" w:rsidP="00FD5D86">
            <w:pPr>
              <w:pStyle w:val="Sraopastraipa"/>
              <w:jc w:val="both"/>
            </w:pPr>
            <w:r>
              <w:t xml:space="preserve">3. </w:t>
            </w:r>
            <w:r w:rsidR="00681A4D" w:rsidRPr="00311E8C">
              <w:t>Tautinis</w:t>
            </w:r>
            <w:r w:rsidR="00311E8C" w:rsidRPr="00311E8C">
              <w:t>-</w:t>
            </w:r>
            <w:r w:rsidR="00681A4D" w:rsidRPr="00311E8C">
              <w:t>pilietinis bendruomenės ugdymas.</w:t>
            </w:r>
          </w:p>
          <w:p w14:paraId="4EFDBC08" w14:textId="77777777" w:rsidR="00681A4D" w:rsidRDefault="00681A4D" w:rsidP="00FD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B4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UŽDAVINIAI</w:t>
            </w:r>
            <w:r w:rsidRPr="00366B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7235CF1" w14:textId="77777777" w:rsidR="003C7A13" w:rsidRPr="00311E8C" w:rsidRDefault="0017337E" w:rsidP="00FD5D86">
            <w:pPr>
              <w:pStyle w:val="Sraopastraipa"/>
              <w:jc w:val="both"/>
            </w:pPr>
            <w:r>
              <w:t xml:space="preserve">1. </w:t>
            </w:r>
            <w:r w:rsidR="003C7A13" w:rsidRPr="00311E8C">
              <w:t>Integruoti fizinį akty</w:t>
            </w:r>
            <w:r w:rsidR="00153189">
              <w:t>vumą į kasdieninį ugdytinių ir M</w:t>
            </w:r>
            <w:r w:rsidR="003C7A13" w:rsidRPr="00311E8C">
              <w:t>okyklos bendruomenės gyvenimą.</w:t>
            </w:r>
          </w:p>
          <w:p w14:paraId="22B178D2" w14:textId="77777777" w:rsidR="003C7A13" w:rsidRPr="00311E8C" w:rsidRDefault="0017337E" w:rsidP="00FD5D86">
            <w:pPr>
              <w:pStyle w:val="Sraopastraipa"/>
              <w:jc w:val="both"/>
            </w:pPr>
            <w:r>
              <w:t xml:space="preserve">2. </w:t>
            </w:r>
            <w:r w:rsidR="003C7A13" w:rsidRPr="00311E8C">
              <w:t>Naujai suburti darbo grupę, organizuojančią  aktyvumo</w:t>
            </w:r>
            <w:r w:rsidR="00595547" w:rsidRPr="00311E8C">
              <w:t xml:space="preserve"> stiprinimo veiklą M</w:t>
            </w:r>
            <w:r w:rsidR="003C7A13" w:rsidRPr="00311E8C">
              <w:t xml:space="preserve">okykloje. </w:t>
            </w:r>
          </w:p>
          <w:p w14:paraId="0D74E017" w14:textId="77777777" w:rsidR="003C7A13" w:rsidRPr="006001D8" w:rsidRDefault="0017337E" w:rsidP="00FD5D86">
            <w:pPr>
              <w:pStyle w:val="Sraopastraipa"/>
              <w:jc w:val="both"/>
            </w:pPr>
            <w:r>
              <w:t xml:space="preserve">3. </w:t>
            </w:r>
            <w:r w:rsidR="00153189">
              <w:t>Parengti aktyvios M</w:t>
            </w:r>
            <w:r w:rsidR="003C7A13" w:rsidRPr="006001D8">
              <w:t>okyklos programą.</w:t>
            </w:r>
          </w:p>
          <w:p w14:paraId="57C596FD" w14:textId="77777777" w:rsidR="00595547" w:rsidRPr="006001D8" w:rsidRDefault="0017337E" w:rsidP="00FD5D86">
            <w:pPr>
              <w:pStyle w:val="Sraopastraipa"/>
              <w:jc w:val="both"/>
            </w:pPr>
            <w:r>
              <w:t xml:space="preserve">4. </w:t>
            </w:r>
            <w:r w:rsidR="00595547" w:rsidRPr="006001D8">
              <w:t>Įrengti S. Kneipo taką.</w:t>
            </w:r>
          </w:p>
          <w:p w14:paraId="523E506F" w14:textId="77777777" w:rsidR="003C7A13" w:rsidRPr="006001D8" w:rsidRDefault="0017337E" w:rsidP="00FD5D86">
            <w:pPr>
              <w:pStyle w:val="Sraopastraipa"/>
              <w:jc w:val="both"/>
            </w:pPr>
            <w:r>
              <w:t xml:space="preserve">5. </w:t>
            </w:r>
            <w:r w:rsidR="003C7A13" w:rsidRPr="006001D8">
              <w:t>Organizuoti bendrystės valandas bendruomenei.</w:t>
            </w:r>
          </w:p>
          <w:p w14:paraId="3BA09B13" w14:textId="77777777" w:rsidR="003C7A13" w:rsidRPr="006001D8" w:rsidRDefault="0017337E" w:rsidP="00FD5D86">
            <w:pPr>
              <w:pStyle w:val="Sraopastraipa"/>
              <w:jc w:val="both"/>
            </w:pPr>
            <w:r>
              <w:t xml:space="preserve">6. </w:t>
            </w:r>
            <w:r w:rsidR="003C7A13" w:rsidRPr="006001D8">
              <w:t>Bendradarbiauti su socialiniais partneriais.</w:t>
            </w:r>
          </w:p>
          <w:p w14:paraId="1B69FF32" w14:textId="77777777" w:rsidR="00681A4D" w:rsidRPr="006001D8" w:rsidRDefault="0017337E" w:rsidP="00FD5D86">
            <w:pPr>
              <w:pStyle w:val="Sraopastraipa"/>
              <w:jc w:val="both"/>
            </w:pPr>
            <w:r>
              <w:t xml:space="preserve">7. </w:t>
            </w:r>
            <w:r w:rsidR="00681A4D" w:rsidRPr="006001D8">
              <w:t>Šviesti bendruomenę emocinio saugumo klausimais.</w:t>
            </w:r>
          </w:p>
          <w:p w14:paraId="4C6FEC18" w14:textId="77777777" w:rsidR="000E7E67" w:rsidRPr="006001D8" w:rsidRDefault="0017337E" w:rsidP="00FD5D86">
            <w:pPr>
              <w:pStyle w:val="Sraopastraipa"/>
              <w:jc w:val="both"/>
            </w:pPr>
            <w:r>
              <w:t xml:space="preserve">8. </w:t>
            </w:r>
            <w:r w:rsidR="000E7E67" w:rsidRPr="006001D8">
              <w:t>Dalyvauti lyderių  klube.</w:t>
            </w:r>
          </w:p>
          <w:p w14:paraId="7CC120C5" w14:textId="77777777" w:rsidR="000E7E67" w:rsidRPr="006001D8" w:rsidRDefault="0017337E" w:rsidP="00FD5D86">
            <w:pPr>
              <w:pStyle w:val="Sraopastraipa"/>
              <w:jc w:val="both"/>
            </w:pPr>
            <w:r>
              <w:t xml:space="preserve">9. </w:t>
            </w:r>
            <w:r w:rsidR="000E7E67" w:rsidRPr="006001D8">
              <w:t>Dalyvauti AIDI dienoje.</w:t>
            </w:r>
          </w:p>
          <w:p w14:paraId="18130D6B" w14:textId="77777777" w:rsidR="00681A4D" w:rsidRPr="006001D8" w:rsidRDefault="0017337E" w:rsidP="00FD5D86">
            <w:pPr>
              <w:pStyle w:val="Sraopastraipa"/>
              <w:jc w:val="both"/>
            </w:pPr>
            <w:r>
              <w:t xml:space="preserve">10. </w:t>
            </w:r>
            <w:r w:rsidR="000E7E67" w:rsidRPr="006001D8">
              <w:t>Parengti programą</w:t>
            </w:r>
            <w:r w:rsidR="00681A4D" w:rsidRPr="006001D8">
              <w:t> </w:t>
            </w:r>
            <w:r w:rsidR="000E7E67" w:rsidRPr="006001D8">
              <w:t>Lietuvos nepriklausomybės 30-osioms metinėms paminėti.</w:t>
            </w:r>
          </w:p>
          <w:p w14:paraId="2DF6926C" w14:textId="77777777" w:rsidR="000E7E67" w:rsidRPr="006001D8" w:rsidRDefault="0017337E" w:rsidP="00FD5D86">
            <w:pPr>
              <w:pStyle w:val="Sraopastraipa"/>
              <w:ind w:left="74" w:firstLine="646"/>
              <w:jc w:val="both"/>
            </w:pPr>
            <w:r>
              <w:t xml:space="preserve">11. </w:t>
            </w:r>
            <w:r w:rsidR="000E7E67" w:rsidRPr="006001D8">
              <w:t xml:space="preserve">Į ikimokyklinio ir priešmokyklinio ugdymo programas integruoti etnokultūros , tautodailės </w:t>
            </w:r>
            <w:r w:rsidR="00595547" w:rsidRPr="006001D8">
              <w:t xml:space="preserve"> pagrindus.</w:t>
            </w:r>
          </w:p>
          <w:p w14:paraId="675BF6D3" w14:textId="77777777" w:rsidR="000E7E67" w:rsidRPr="006001D8" w:rsidRDefault="0017337E" w:rsidP="00FD5D86">
            <w:pPr>
              <w:pStyle w:val="Sraopastraipa"/>
              <w:jc w:val="both"/>
            </w:pPr>
            <w:r>
              <w:t xml:space="preserve">12. </w:t>
            </w:r>
            <w:r w:rsidR="000E7E67" w:rsidRPr="006001D8">
              <w:t>IKT tobulinimas.</w:t>
            </w:r>
          </w:p>
          <w:p w14:paraId="4E18E254" w14:textId="77777777" w:rsidR="000E7E67" w:rsidRPr="00A36D98" w:rsidRDefault="000E7E67" w:rsidP="00FD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F9D03" w14:textId="77777777" w:rsidR="00681A4D" w:rsidRPr="00375D4B" w:rsidRDefault="00681A4D" w:rsidP="00FD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7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Įs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taiga, įgyvendindama savo tiksl</w:t>
            </w:r>
            <w:r w:rsidRPr="00375D4B"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uždavinius ir prioritetus atlieka</w:t>
            </w:r>
            <w:r w:rsidRPr="0037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šias funkcijas:</w:t>
            </w:r>
          </w:p>
          <w:p w14:paraId="0B275688" w14:textId="77777777" w:rsidR="00681A4D" w:rsidRPr="00EB20A5" w:rsidRDefault="0017337E" w:rsidP="00FD5D86">
            <w:pPr>
              <w:pStyle w:val="Sraopastraipa"/>
              <w:jc w:val="both"/>
            </w:pPr>
            <w:r>
              <w:t xml:space="preserve">1. </w:t>
            </w:r>
            <w:r w:rsidR="00681A4D" w:rsidRPr="00EB20A5">
              <w:t>konkretina ir individualizuoja ugdymo(si) turinį;</w:t>
            </w:r>
          </w:p>
          <w:p w14:paraId="7F2F5C18" w14:textId="77777777" w:rsidR="00681A4D" w:rsidRPr="00EB20A5" w:rsidRDefault="0017337E" w:rsidP="00FD5D86">
            <w:pPr>
              <w:pStyle w:val="Sraopastraipa"/>
              <w:ind w:left="74" w:firstLine="568"/>
              <w:jc w:val="both"/>
            </w:pPr>
            <w:r>
              <w:t xml:space="preserve">2. </w:t>
            </w:r>
            <w:r w:rsidR="00681A4D" w:rsidRPr="00EB20A5">
              <w:t>vykdo ikimokyklinio ir priešmokyklinio ugdymo(si) programas, ugdymo sutartyse</w:t>
            </w:r>
            <w:r>
              <w:t xml:space="preserve"> </w:t>
            </w:r>
            <w:r w:rsidR="00681A4D" w:rsidRPr="00EB20A5">
              <w:t>sutartus įsipareigojimus, užtikrina geros kokybės švietimą;</w:t>
            </w:r>
          </w:p>
          <w:p w14:paraId="56ED09DE" w14:textId="77777777" w:rsidR="00681A4D" w:rsidRPr="00EB20A5" w:rsidRDefault="0017337E" w:rsidP="00FD5D86">
            <w:pPr>
              <w:pStyle w:val="Sraopastraipa"/>
              <w:jc w:val="both"/>
            </w:pPr>
            <w:r>
              <w:t xml:space="preserve">3. </w:t>
            </w:r>
            <w:r w:rsidR="00681A4D" w:rsidRPr="00EB20A5">
              <w:t>tėvams teikia informacinę psichologinę, socialinę</w:t>
            </w:r>
            <w:r w:rsidR="00EB20A5">
              <w:t>,</w:t>
            </w:r>
            <w:r w:rsidR="00681A4D" w:rsidRPr="00EB20A5">
              <w:t xml:space="preserve"> pedagoginę pagalbą;</w:t>
            </w:r>
          </w:p>
          <w:p w14:paraId="5EA05AF2" w14:textId="77777777" w:rsidR="00681A4D" w:rsidRPr="00EB20A5" w:rsidRDefault="0017337E" w:rsidP="00FD5D86">
            <w:pPr>
              <w:pStyle w:val="Sraopastraipa"/>
              <w:ind w:left="74" w:firstLine="646"/>
              <w:jc w:val="both"/>
            </w:pPr>
            <w:r>
              <w:t xml:space="preserve">4. </w:t>
            </w:r>
            <w:r w:rsidR="00681A4D" w:rsidRPr="00EB20A5">
              <w:t>esant poreikiui</w:t>
            </w:r>
            <w:r w:rsidR="00153189">
              <w:t xml:space="preserve"> </w:t>
            </w:r>
            <w:r w:rsidR="00681A4D" w:rsidRPr="00EB20A5">
              <w:t xml:space="preserve">įvertina vaikų specialiuosius ugdymosi poreikius, vykdo PPT  rekomendacijas; </w:t>
            </w:r>
          </w:p>
          <w:p w14:paraId="48CDD2D3" w14:textId="77777777" w:rsidR="00681A4D" w:rsidRPr="00EB20A5" w:rsidRDefault="0017337E" w:rsidP="00FD5D86">
            <w:pPr>
              <w:pStyle w:val="Sraopastraipa"/>
              <w:jc w:val="both"/>
            </w:pPr>
            <w:r>
              <w:t xml:space="preserve">5. </w:t>
            </w:r>
            <w:r w:rsidR="00681A4D" w:rsidRPr="00EB20A5">
              <w:t>organizuoja vaikų maitinimą;</w:t>
            </w:r>
          </w:p>
          <w:p w14:paraId="1B1DCB7C" w14:textId="77777777" w:rsidR="00681A4D" w:rsidRPr="00EB20A5" w:rsidRDefault="0017337E" w:rsidP="00FD5D86">
            <w:pPr>
              <w:pStyle w:val="Sraopastraipa"/>
              <w:jc w:val="both"/>
            </w:pPr>
            <w:r>
              <w:t xml:space="preserve">6. </w:t>
            </w:r>
            <w:r w:rsidR="00681A4D" w:rsidRPr="00EB20A5">
              <w:t xml:space="preserve">teikia </w:t>
            </w:r>
            <w:proofErr w:type="spellStart"/>
            <w:r w:rsidR="00681A4D" w:rsidRPr="00EB20A5">
              <w:t>logopedinę</w:t>
            </w:r>
            <w:proofErr w:type="spellEnd"/>
            <w:r w:rsidR="00681A4D" w:rsidRPr="00EB20A5">
              <w:t xml:space="preserve"> pagalbą; </w:t>
            </w:r>
          </w:p>
          <w:p w14:paraId="61141DED" w14:textId="77777777" w:rsidR="00681A4D" w:rsidRPr="00EB20A5" w:rsidRDefault="0017337E" w:rsidP="00FD5D86">
            <w:pPr>
              <w:pStyle w:val="Sraopastraipa"/>
              <w:ind w:left="74" w:firstLine="646"/>
              <w:jc w:val="both"/>
            </w:pPr>
            <w:r>
              <w:t xml:space="preserve">7. </w:t>
            </w:r>
            <w:r w:rsidR="00681A4D" w:rsidRPr="00EB20A5">
              <w:t>organizuoja, tėvų(globėjų) pageidavimu, jų mokamas papildomas paslaugas, būrelius (anglų kalbos ir choreografijos</w:t>
            </w:r>
            <w:r w:rsidR="00F91463" w:rsidRPr="00EB20A5">
              <w:t>, futbolo</w:t>
            </w:r>
            <w:r w:rsidR="00681A4D" w:rsidRPr="00EB20A5">
              <w:t>) teisės aktų nustatyta tvarka;</w:t>
            </w:r>
          </w:p>
          <w:p w14:paraId="5BCCEAAF" w14:textId="77777777" w:rsidR="00681A4D" w:rsidRPr="00EB20A5" w:rsidRDefault="0017337E" w:rsidP="00FD5D86">
            <w:pPr>
              <w:pStyle w:val="Sraopastraipa"/>
              <w:jc w:val="both"/>
            </w:pPr>
            <w:r>
              <w:t xml:space="preserve">8. </w:t>
            </w:r>
            <w:r w:rsidR="00681A4D" w:rsidRPr="00EB20A5">
              <w:t>sudaro sąlygas darbuotojų dalykiniam tobulinimuisi;</w:t>
            </w:r>
          </w:p>
          <w:p w14:paraId="5F541064" w14:textId="77777777" w:rsidR="00681A4D" w:rsidRPr="00EB20A5" w:rsidRDefault="0017337E" w:rsidP="00FD5D86">
            <w:pPr>
              <w:pStyle w:val="Sraopastraipa"/>
              <w:ind w:left="74"/>
              <w:jc w:val="both"/>
            </w:pPr>
            <w:r>
              <w:t xml:space="preserve">          9. </w:t>
            </w:r>
            <w:r w:rsidR="00681A4D" w:rsidRPr="00EB20A5">
              <w:t>užtikrina higienos normas, teisės aktų reikalavimus atitinkančią sveiką, saugią mokymosi ir darbo aplinką;</w:t>
            </w:r>
          </w:p>
          <w:p w14:paraId="3705BDD8" w14:textId="77777777" w:rsidR="00681A4D" w:rsidRPr="00EB20A5" w:rsidRDefault="0017337E" w:rsidP="00FD5D86">
            <w:pPr>
              <w:pStyle w:val="Sraopastraipa"/>
              <w:ind w:left="74" w:firstLine="646"/>
              <w:jc w:val="both"/>
            </w:pPr>
            <w:r>
              <w:t xml:space="preserve">10. </w:t>
            </w:r>
            <w:r w:rsidR="00681A4D" w:rsidRPr="00EB20A5">
              <w:t>kuria ugdymo turinio reikalavimams</w:t>
            </w:r>
            <w:r w:rsidR="006E202C">
              <w:t xml:space="preserve"> </w:t>
            </w:r>
            <w:r w:rsidR="00681A4D" w:rsidRPr="00EB20A5">
              <w:t xml:space="preserve">įgyvendinti reikiamą materialinę bazę, </w:t>
            </w:r>
            <w:r>
              <w:t>v</w:t>
            </w:r>
            <w:r w:rsidR="00681A4D" w:rsidRPr="00EB20A5">
              <w:t>adovaudamasis Švietimo ir mokslo ministro patvirtintais Švietimo aprūpinimo standartais;</w:t>
            </w:r>
          </w:p>
          <w:p w14:paraId="7250E86C" w14:textId="77777777" w:rsidR="00681A4D" w:rsidRPr="00EB20A5" w:rsidRDefault="0017337E" w:rsidP="00FD5D86">
            <w:pPr>
              <w:pStyle w:val="Sraopastraipa"/>
              <w:ind w:left="74"/>
              <w:jc w:val="both"/>
            </w:pPr>
            <w:r>
              <w:t xml:space="preserve">          11. </w:t>
            </w:r>
            <w:r w:rsidR="00681A4D" w:rsidRPr="00EB20A5">
              <w:t>viešai skelbia informaciją apie lopšelio-darželio veiklą  Mokyklos, Savivaldybės tinklapyje,  rajoninėje spaudoje;</w:t>
            </w:r>
            <w:r w:rsidR="00681A4D" w:rsidRPr="00EB20A5">
              <w:tab/>
            </w:r>
          </w:p>
          <w:p w14:paraId="24F17916" w14:textId="77777777" w:rsidR="00681A4D" w:rsidRPr="00EB20A5" w:rsidRDefault="00507A1D" w:rsidP="00FD5D86">
            <w:pPr>
              <w:pStyle w:val="Sraopastraipa"/>
              <w:jc w:val="both"/>
            </w:pPr>
            <w:r>
              <w:t xml:space="preserve">12. </w:t>
            </w:r>
            <w:r w:rsidR="00681A4D" w:rsidRPr="00EB20A5">
              <w:t>vykdo Mokyklos biudžetinių, kitų lėšų planavimą ir racionalų jų naudojimą;</w:t>
            </w:r>
          </w:p>
          <w:p w14:paraId="5EBF1296" w14:textId="77777777" w:rsidR="00681A4D" w:rsidRPr="00EB20A5" w:rsidRDefault="00507A1D" w:rsidP="00FD5D86">
            <w:pPr>
              <w:pStyle w:val="Sraopastraipa"/>
              <w:jc w:val="both"/>
            </w:pPr>
            <w:r>
              <w:t xml:space="preserve">13. </w:t>
            </w:r>
            <w:r w:rsidR="00681A4D" w:rsidRPr="00EB20A5">
              <w:t>atlieka kitas įstatymų ir kitų teisės aktų numatytas funkcijas.</w:t>
            </w:r>
          </w:p>
          <w:p w14:paraId="6338FD46" w14:textId="77777777" w:rsidR="00681A4D" w:rsidRPr="00255DC5" w:rsidRDefault="00681A4D" w:rsidP="00FD5D86">
            <w:pPr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681A4D" w:rsidRPr="00255DC5" w14:paraId="42285F01" w14:textId="77777777" w:rsidTr="003906BD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375" w14:textId="77777777" w:rsidR="00681A4D" w:rsidRPr="002C741E" w:rsidRDefault="00681A4D" w:rsidP="00FD5D86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14:paraId="21D1787D" w14:textId="77777777" w:rsidR="00681A4D" w:rsidRPr="00255DC5" w:rsidRDefault="00681A4D" w:rsidP="00FD5D86">
      <w:pPr>
        <w:jc w:val="both"/>
        <w:rPr>
          <w:rFonts w:ascii="Calibri" w:eastAsia="Times New Roman" w:hAnsi="Calibri" w:cs="Times New Roman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A4D" w:rsidRPr="00853FAA" w14:paraId="5FA8CE56" w14:textId="77777777" w:rsidTr="003906BD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60D" w14:textId="77777777" w:rsidR="00681A4D" w:rsidRPr="00853FAA" w:rsidRDefault="00681A4D" w:rsidP="00FD5D86">
            <w:pPr>
              <w:jc w:val="both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 w:rsidRPr="00255DC5">
              <w:rPr>
                <w:rFonts w:ascii="Calibri" w:eastAsia="Times New Roman" w:hAnsi="Calibri" w:cs="Times New Roman"/>
                <w:b/>
                <w:bCs/>
                <w:szCs w:val="24"/>
                <w:lang w:eastAsia="ar-SA"/>
              </w:rPr>
              <w:t>Savivaldybės strateginio plėtros plano prioritetai, susiję su metiniu veiklos planu:</w:t>
            </w:r>
            <w:r w:rsidR="006E202C">
              <w:rPr>
                <w:rFonts w:ascii="Calibri" w:eastAsia="Times New Roman" w:hAnsi="Calibri" w:cs="Times New Roman"/>
                <w:b/>
                <w:bCs/>
                <w:szCs w:val="24"/>
                <w:lang w:eastAsia="ar-SA"/>
              </w:rPr>
              <w:t xml:space="preserve"> </w:t>
            </w:r>
            <w:r w:rsidRPr="005B2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Žmogiškieji ištekliai</w:t>
            </w:r>
          </w:p>
        </w:tc>
      </w:tr>
    </w:tbl>
    <w:p w14:paraId="6A009EC5" w14:textId="77777777" w:rsidR="00681A4D" w:rsidRPr="00853FAA" w:rsidRDefault="00681A4D" w:rsidP="00FD5D86">
      <w:pPr>
        <w:jc w:val="both"/>
        <w:rPr>
          <w:rFonts w:ascii="Calibri" w:eastAsia="Times New Roman" w:hAnsi="Calibri" w:cs="Times New Roman"/>
          <w:szCs w:val="24"/>
        </w:rPr>
      </w:pPr>
    </w:p>
    <w:tbl>
      <w:tblPr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9720"/>
      </w:tblGrid>
      <w:tr w:rsidR="00681A4D" w:rsidRPr="00255DC5" w14:paraId="23F08D65" w14:textId="77777777" w:rsidTr="003906BD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A20" w14:textId="77777777" w:rsidR="00681A4D" w:rsidRDefault="00681A4D" w:rsidP="00FD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10905115"/>
            <w:bookmarkEnd w:id="1"/>
            <w:r w:rsidRPr="00DB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Numatomas metinio veiklos plano įgyvendinimo rezultatas.</w:t>
            </w:r>
          </w:p>
          <w:p w14:paraId="5572104E" w14:textId="77777777" w:rsidR="00622D21" w:rsidRDefault="00507A1D" w:rsidP="00FD5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1A4D" w:rsidRPr="006F4546">
              <w:rPr>
                <w:rFonts w:ascii="Times New Roman" w:hAnsi="Times New Roman" w:cs="Times New Roman"/>
                <w:sz w:val="24"/>
                <w:szCs w:val="24"/>
              </w:rPr>
              <w:t>Išsilavinusi</w:t>
            </w:r>
            <w:r w:rsidR="00681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A4D" w:rsidRPr="006F454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81A4D">
              <w:rPr>
                <w:rFonts w:ascii="Times New Roman" w:hAnsi="Times New Roman" w:cs="Times New Roman"/>
                <w:sz w:val="24"/>
                <w:szCs w:val="24"/>
              </w:rPr>
              <w:t>ultūrą puoselėjanti bendruomenė, emociškai saugioje aplinkoje. Išugdyti bendrieji vaikų geb</w:t>
            </w:r>
            <w:r w:rsidR="00595547">
              <w:rPr>
                <w:rFonts w:ascii="Times New Roman" w:hAnsi="Times New Roman" w:cs="Times New Roman"/>
                <w:sz w:val="24"/>
                <w:szCs w:val="24"/>
              </w:rPr>
              <w:t>ėjimai</w:t>
            </w:r>
            <w:r w:rsidR="00517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547">
              <w:rPr>
                <w:rFonts w:ascii="Times New Roman" w:hAnsi="Times New Roman" w:cs="Times New Roman"/>
                <w:sz w:val="24"/>
                <w:szCs w:val="24"/>
              </w:rPr>
              <w:t xml:space="preserve"> jų vertybinės nu</w:t>
            </w:r>
            <w:r w:rsidR="006E202C">
              <w:rPr>
                <w:rFonts w:ascii="Times New Roman" w:hAnsi="Times New Roman" w:cs="Times New Roman"/>
                <w:sz w:val="24"/>
                <w:szCs w:val="24"/>
              </w:rPr>
              <w:t>ostatos. Mokykla tampa aktyvia M</w:t>
            </w:r>
            <w:r w:rsidR="00595547">
              <w:rPr>
                <w:rFonts w:ascii="Times New Roman" w:hAnsi="Times New Roman" w:cs="Times New Roman"/>
                <w:sz w:val="24"/>
                <w:szCs w:val="24"/>
              </w:rPr>
              <w:t>okykla. Į ugdymo programas integruota</w:t>
            </w:r>
            <w:r w:rsidR="006E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2C9" w:rsidRPr="00CB3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81A4D" w:rsidRPr="00CB3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veikos</w:t>
            </w:r>
            <w:r w:rsidR="00CB3F4E" w:rsidRPr="00CB3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aktyvios</w:t>
            </w:r>
            <w:r w:rsidR="006E2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3F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5547">
              <w:rPr>
                <w:rFonts w:ascii="Times New Roman" w:hAnsi="Times New Roman" w:cs="Times New Roman"/>
                <w:sz w:val="24"/>
                <w:szCs w:val="24"/>
              </w:rPr>
              <w:t>okyklos program</w:t>
            </w:r>
            <w:r w:rsidR="00CB3F4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595547">
              <w:rPr>
                <w:rFonts w:ascii="Times New Roman" w:hAnsi="Times New Roman" w:cs="Times New Roman"/>
                <w:sz w:val="24"/>
                <w:szCs w:val="24"/>
              </w:rPr>
              <w:t>, etnokultūros, tautodailės pagrindai.</w:t>
            </w:r>
            <w:r w:rsidR="006E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D21">
              <w:rPr>
                <w:rFonts w:ascii="Times New Roman" w:hAnsi="Times New Roman" w:cs="Times New Roman"/>
                <w:sz w:val="24"/>
                <w:szCs w:val="24"/>
              </w:rPr>
              <w:t>Mokykla užpildyta 100 procentų.</w:t>
            </w:r>
            <w:r w:rsidR="006E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D21">
              <w:rPr>
                <w:rFonts w:ascii="Times New Roman" w:eastAsia="Times New Roman" w:hAnsi="Times New Roman" w:cs="Times New Roman"/>
                <w:sz w:val="24"/>
                <w:szCs w:val="24"/>
              </w:rPr>
              <w:t>Turint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patirtį ir kvalifikaciją keliančius pedagogus</w:t>
            </w:r>
            <w:r w:rsidR="00622D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užtikrina</w:t>
            </w:r>
            <w:r w:rsidR="00622D21">
              <w:rPr>
                <w:rFonts w:ascii="Times New Roman" w:eastAsia="Times New Roman" w:hAnsi="Times New Roman" w:cs="Times New Roman"/>
                <w:sz w:val="24"/>
                <w:szCs w:val="24"/>
              </w:rPr>
              <w:t>ma individuali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vaikų ugdymosi žingsnių pažangą</w:t>
            </w:r>
            <w:r w:rsidR="00622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Priešmokyklinio ugdymo (si) ugdytiniai pagal savo galias padaro pažangą, kuri atsispindi ugdytinių aprašuose. Vaikai šioje mokykloje laisvi, kūrybingi, noriai </w:t>
            </w:r>
            <w:r w:rsidR="006E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lanko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Mokyklą. </w:t>
            </w:r>
          </w:p>
          <w:p w14:paraId="13E862A5" w14:textId="77777777" w:rsidR="00681A4D" w:rsidRDefault="006E202C" w:rsidP="00FD5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>Darni bendruomenė – sveikas vaikas. Tėvai pasitiki pedagogais, linkę bendradarbiauti, jaučiasi  saugūs dėl savo vaikų, todėl renkasi šią Mokyklą.</w:t>
            </w:r>
          </w:p>
          <w:p w14:paraId="551D1368" w14:textId="77777777" w:rsidR="00681A4D" w:rsidRDefault="00681A4D" w:rsidP="00FD5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Vykdomos Europinių vaisių ir pieno programos, HN normos. Maitinimo organizavimo  ikimokyklinio ugdymo, bendrojo ugdymo mokyklose ir vaikų socialinės globos įstaigose tvarkos aprašas užtikrina racionalią vaikų mitybą.</w:t>
            </w:r>
          </w:p>
          <w:p w14:paraId="577E50DA" w14:textId="77777777" w:rsidR="00681A4D" w:rsidRPr="00DB2B71" w:rsidRDefault="006E202C" w:rsidP="00FD5D86">
            <w:pPr>
              <w:spacing w:after="0"/>
              <w:jc w:val="both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Atnaujinta M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>okyklos edukacinė  aplinka pritaikyta vaikų sveikatos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ugdymui.  Projektinės veiklos dėka Mokykla garsina save ir miestą ne tik rajone, Respublikoje, bet ir Europoje.  </w:t>
            </w:r>
          </w:p>
        </w:tc>
      </w:tr>
      <w:tr w:rsidR="00622D21" w:rsidRPr="00255DC5" w14:paraId="1A6A0518" w14:textId="77777777" w:rsidTr="003906BD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922" w14:textId="77777777" w:rsidR="00622D21" w:rsidRPr="00DB2B71" w:rsidRDefault="00622D21" w:rsidP="00FD5D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523817" w14:textId="77777777" w:rsidR="00681A4D" w:rsidRDefault="00681A4D" w:rsidP="00FD5D86">
      <w:pPr>
        <w:jc w:val="both"/>
      </w:pPr>
    </w:p>
    <w:p w14:paraId="1D3ECA69" w14:textId="77777777" w:rsidR="00E62A81" w:rsidRPr="00255DC5" w:rsidRDefault="00E62A81" w:rsidP="006C2C85">
      <w:pPr>
        <w:rPr>
          <w:rFonts w:ascii="Calibri" w:eastAsia="Times New Roman" w:hAnsi="Calibri" w:cs="Times New Roman"/>
          <w:b/>
          <w:szCs w:val="24"/>
        </w:rPr>
      </w:pPr>
    </w:p>
    <w:p w14:paraId="0CE7E1F5" w14:textId="77777777" w:rsidR="00E62A81" w:rsidRPr="005242CB" w:rsidRDefault="006E202C" w:rsidP="00311E8C">
      <w:pPr>
        <w:rPr>
          <w:rFonts w:ascii="Calibri" w:eastAsia="Times New Roman" w:hAnsi="Calibri" w:cs="Times New Roman"/>
          <w:color w:val="FF0000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 </w:t>
      </w:r>
    </w:p>
    <w:p w14:paraId="36D4363E" w14:textId="77777777" w:rsidR="00E62A81" w:rsidRPr="005242CB" w:rsidRDefault="00E62A81" w:rsidP="00311E8C">
      <w:pPr>
        <w:rPr>
          <w:rFonts w:ascii="Calibri" w:eastAsia="Times New Roman" w:hAnsi="Calibri" w:cs="Times New Roman"/>
          <w:color w:val="FF0000"/>
          <w:szCs w:val="24"/>
        </w:rPr>
      </w:pPr>
    </w:p>
    <w:p w14:paraId="0631B1E2" w14:textId="77777777" w:rsidR="00E5538D" w:rsidRDefault="00E5538D" w:rsidP="00311E8C"/>
    <w:sectPr w:rsidR="00E5538D" w:rsidSect="009F325F">
      <w:pgSz w:w="11906" w:h="16838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6866"/>
    <w:multiLevelType w:val="hybridMultilevel"/>
    <w:tmpl w:val="A1C813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01F0"/>
    <w:multiLevelType w:val="hybridMultilevel"/>
    <w:tmpl w:val="CA7800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3A74"/>
    <w:multiLevelType w:val="hybridMultilevel"/>
    <w:tmpl w:val="444A21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02A4"/>
    <w:multiLevelType w:val="hybridMultilevel"/>
    <w:tmpl w:val="92822A10"/>
    <w:lvl w:ilvl="0" w:tplc="7E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FE6668"/>
    <w:multiLevelType w:val="hybridMultilevel"/>
    <w:tmpl w:val="13864330"/>
    <w:lvl w:ilvl="0" w:tplc="4F3871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5698"/>
    <w:multiLevelType w:val="hybridMultilevel"/>
    <w:tmpl w:val="795C37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1A87"/>
    <w:multiLevelType w:val="hybridMultilevel"/>
    <w:tmpl w:val="EA963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61B"/>
    <w:multiLevelType w:val="hybridMultilevel"/>
    <w:tmpl w:val="F4621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45F3D"/>
    <w:multiLevelType w:val="hybridMultilevel"/>
    <w:tmpl w:val="3AA2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15402"/>
    <w:multiLevelType w:val="hybridMultilevel"/>
    <w:tmpl w:val="27740DE6"/>
    <w:lvl w:ilvl="0" w:tplc="7DE2E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02D1D"/>
    <w:multiLevelType w:val="hybridMultilevel"/>
    <w:tmpl w:val="F36E8D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D5D7D"/>
    <w:multiLevelType w:val="hybridMultilevel"/>
    <w:tmpl w:val="D2C6A2C0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4D"/>
    <w:rsid w:val="00003721"/>
    <w:rsid w:val="00015084"/>
    <w:rsid w:val="00043010"/>
    <w:rsid w:val="0004395D"/>
    <w:rsid w:val="00071065"/>
    <w:rsid w:val="000E7E67"/>
    <w:rsid w:val="00122EF3"/>
    <w:rsid w:val="00153189"/>
    <w:rsid w:val="0017337E"/>
    <w:rsid w:val="001B76F9"/>
    <w:rsid w:val="001E20E9"/>
    <w:rsid w:val="00265EFF"/>
    <w:rsid w:val="002A36B8"/>
    <w:rsid w:val="00311E8C"/>
    <w:rsid w:val="003A1A43"/>
    <w:rsid w:val="003B7ACF"/>
    <w:rsid w:val="003C7A13"/>
    <w:rsid w:val="004026BD"/>
    <w:rsid w:val="004676A7"/>
    <w:rsid w:val="00507A1D"/>
    <w:rsid w:val="00517030"/>
    <w:rsid w:val="00595547"/>
    <w:rsid w:val="005C1F6D"/>
    <w:rsid w:val="005D0102"/>
    <w:rsid w:val="006001D8"/>
    <w:rsid w:val="00622D21"/>
    <w:rsid w:val="006662C9"/>
    <w:rsid w:val="00681A4D"/>
    <w:rsid w:val="006B27C7"/>
    <w:rsid w:val="006C2C85"/>
    <w:rsid w:val="006E202C"/>
    <w:rsid w:val="007A5861"/>
    <w:rsid w:val="00923806"/>
    <w:rsid w:val="00987D1E"/>
    <w:rsid w:val="009A10AC"/>
    <w:rsid w:val="009E5B50"/>
    <w:rsid w:val="00A26582"/>
    <w:rsid w:val="00B932DF"/>
    <w:rsid w:val="00C711A3"/>
    <w:rsid w:val="00CB3F4E"/>
    <w:rsid w:val="00D713D2"/>
    <w:rsid w:val="00D90BFD"/>
    <w:rsid w:val="00DE2B98"/>
    <w:rsid w:val="00E5538D"/>
    <w:rsid w:val="00E62A81"/>
    <w:rsid w:val="00EB20A5"/>
    <w:rsid w:val="00EC0A1E"/>
    <w:rsid w:val="00F91463"/>
    <w:rsid w:val="00FD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D0F2"/>
  <w15:docId w15:val="{752C173F-4714-49EC-9BE9-B1AC60C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38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citata">
    <w:name w:val="HTML Cite"/>
    <w:basedOn w:val="Numatytasispastraiposriftas"/>
    <w:uiPriority w:val="99"/>
    <w:semiHidden/>
    <w:unhideWhenUsed/>
    <w:rsid w:val="00681A4D"/>
    <w:rPr>
      <w:i/>
      <w:iCs/>
    </w:rPr>
  </w:style>
  <w:style w:type="table" w:styleId="Lentelstinklelis">
    <w:name w:val="Table Grid"/>
    <w:basedOn w:val="prastojilentel"/>
    <w:uiPriority w:val="59"/>
    <w:rsid w:val="00681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rietas">
    <w:name w:val="Strong"/>
    <w:basedOn w:val="Numatytasispastraiposriftas"/>
    <w:uiPriority w:val="22"/>
    <w:qFormat/>
    <w:rsid w:val="00681A4D"/>
    <w:rPr>
      <w:b/>
      <w:bCs/>
    </w:rPr>
  </w:style>
  <w:style w:type="paragraph" w:styleId="prastasiniatinklio">
    <w:name w:val="Normal (Web)"/>
    <w:basedOn w:val="prastasis"/>
    <w:uiPriority w:val="99"/>
    <w:unhideWhenUsed/>
    <w:rsid w:val="0068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semiHidden/>
    <w:rsid w:val="00681A4D"/>
    <w:rPr>
      <w:sz w:val="16"/>
    </w:rPr>
  </w:style>
  <w:style w:type="paragraph" w:styleId="Sraopastraipa">
    <w:name w:val="List Paragraph"/>
    <w:basedOn w:val="prastasis"/>
    <w:uiPriority w:val="99"/>
    <w:qFormat/>
    <w:rsid w:val="00681A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353E-2785-4433-B912-F5E295E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User</cp:lastModifiedBy>
  <cp:revision>2</cp:revision>
  <cp:lastPrinted>2020-02-26T07:53:00Z</cp:lastPrinted>
  <dcterms:created xsi:type="dcterms:W3CDTF">2021-02-10T14:12:00Z</dcterms:created>
  <dcterms:modified xsi:type="dcterms:W3CDTF">2021-02-10T14:12:00Z</dcterms:modified>
</cp:coreProperties>
</file>